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54C" w:rsidRDefault="0017454C" w:rsidP="0017454C">
      <w:pPr>
        <w:jc w:val="center"/>
        <w:rPr>
          <w:rFonts w:asciiTheme="minorEastAsia" w:hAnsiTheme="minorEastAsia" w:hint="eastAsia"/>
          <w:b/>
          <w:sz w:val="24"/>
          <w:szCs w:val="24"/>
        </w:rPr>
      </w:pPr>
      <w:bookmarkStart w:id="0" w:name="_GoBack"/>
      <w:bookmarkEnd w:id="0"/>
      <w:r w:rsidRPr="00AE1B6A">
        <w:rPr>
          <w:rFonts w:asciiTheme="minorEastAsia" w:hAnsiTheme="minorEastAsia" w:hint="eastAsia"/>
          <w:b/>
          <w:sz w:val="24"/>
          <w:szCs w:val="24"/>
        </w:rPr>
        <w:t>《北方土改中的“翻身”与“生产”》</w:t>
      </w:r>
    </w:p>
    <w:p w:rsidR="00BB1937" w:rsidRPr="0017454C" w:rsidRDefault="00D35A72" w:rsidP="0017454C">
      <w:pPr>
        <w:jc w:val="center"/>
        <w:rPr>
          <w:rFonts w:ascii="黑体" w:eastAsia="黑体" w:hAnsi="黑体"/>
          <w:sz w:val="24"/>
          <w:szCs w:val="24"/>
        </w:rPr>
      </w:pPr>
      <w:r>
        <w:rPr>
          <w:rFonts w:ascii="黑体" w:eastAsia="黑体" w:hAnsi="黑体" w:hint="eastAsia"/>
          <w:sz w:val="24"/>
          <w:szCs w:val="24"/>
        </w:rPr>
        <w:t xml:space="preserve">农村政治学1组 </w:t>
      </w:r>
      <w:proofErr w:type="gramStart"/>
      <w:r w:rsidR="00082E84" w:rsidRPr="00A81C47">
        <w:rPr>
          <w:rFonts w:ascii="黑体" w:eastAsia="黑体" w:hAnsi="黑体" w:hint="eastAsia"/>
          <w:sz w:val="24"/>
          <w:szCs w:val="24"/>
        </w:rPr>
        <w:t>盛韵颖</w:t>
      </w:r>
      <w:proofErr w:type="gramEnd"/>
      <w:r w:rsidR="00082E84" w:rsidRPr="00A81C47">
        <w:rPr>
          <w:rFonts w:ascii="黑体" w:eastAsia="黑体" w:hAnsi="黑体" w:hint="eastAsia"/>
          <w:sz w:val="24"/>
          <w:szCs w:val="24"/>
        </w:rPr>
        <w:t xml:space="preserve"> 2013201522</w:t>
      </w:r>
    </w:p>
    <w:p w:rsidR="00BB1937" w:rsidRDefault="00BB1937" w:rsidP="00AE1B6A">
      <w:pPr>
        <w:spacing w:line="400" w:lineRule="exact"/>
        <w:ind w:firstLineChars="200" w:firstLine="420"/>
        <w:rPr>
          <w:rFonts w:asciiTheme="minorEastAsia" w:hAnsiTheme="minorEastAsia"/>
          <w:szCs w:val="21"/>
        </w:rPr>
      </w:pPr>
      <w:r>
        <w:rPr>
          <w:rFonts w:asciiTheme="minorEastAsia" w:hAnsiTheme="minorEastAsia" w:hint="eastAsia"/>
          <w:szCs w:val="21"/>
        </w:rPr>
        <w:t>从《文化、权力与国家》、《翻身》，到这次读的文献，都围绕“土改”这个内容进行讨论,但三本书和文献的风格却有区别，《文化》称得上一部真正的学术论文著作，《翻身》更像一部小说，而本篇文献则从一个全新的角度“话语—历史矛盾”出发，没有局限于对土改丰功伟绩的赞扬，反而从中揭示了一直存在的矛盾。</w:t>
      </w:r>
    </w:p>
    <w:p w:rsidR="00135BC6" w:rsidRDefault="00BB1937" w:rsidP="00AE1B6A">
      <w:pPr>
        <w:spacing w:line="400" w:lineRule="exact"/>
        <w:rPr>
          <w:rFonts w:asciiTheme="minorEastAsia" w:hAnsiTheme="minorEastAsia"/>
          <w:szCs w:val="21"/>
        </w:rPr>
      </w:pPr>
      <w:r>
        <w:rPr>
          <w:rFonts w:asciiTheme="minorEastAsia" w:hAnsiTheme="minorEastAsia" w:hint="eastAsia"/>
          <w:szCs w:val="21"/>
        </w:rPr>
        <w:t>作者在一开始就提出了自己的观点：</w:t>
      </w:r>
      <w:r w:rsidRPr="00BB1937">
        <w:rPr>
          <w:rFonts w:asciiTheme="minorEastAsia" w:hAnsiTheme="minorEastAsia" w:hint="eastAsia"/>
          <w:szCs w:val="21"/>
        </w:rPr>
        <w:t>围绕“革命”与“生产”而生成的诸话语和历史因素之间的实践关系并非协调一致，而是充满紧张、错位乃至“斗争”</w:t>
      </w:r>
      <w:r>
        <w:rPr>
          <w:rFonts w:asciiTheme="minorEastAsia" w:hAnsiTheme="minorEastAsia" w:hint="eastAsia"/>
          <w:szCs w:val="21"/>
        </w:rPr>
        <w:t>，同时指明了主要的分析工具——</w:t>
      </w:r>
      <w:r>
        <w:rPr>
          <w:rFonts w:asciiTheme="minorEastAsia" w:hAnsiTheme="minorEastAsia"/>
          <w:szCs w:val="21"/>
        </w:rPr>
        <w:t>“</w:t>
      </w:r>
      <w:r>
        <w:rPr>
          <w:rFonts w:asciiTheme="minorEastAsia" w:hAnsiTheme="minorEastAsia" w:hint="eastAsia"/>
          <w:szCs w:val="21"/>
        </w:rPr>
        <w:t>话语—历史矛盾”这一关系式，并且表明了</w:t>
      </w:r>
      <w:r w:rsidRPr="00BB1937">
        <w:rPr>
          <w:rFonts w:asciiTheme="minorEastAsia" w:hAnsiTheme="minorEastAsia" w:hint="eastAsia"/>
          <w:szCs w:val="21"/>
        </w:rPr>
        <w:t>本文所关注的并非翻身是否促进生产，而是翻身与生产的矛盾如何构成了土改运动的话语—历史情境。</w:t>
      </w:r>
      <w:r>
        <w:rPr>
          <w:rFonts w:asciiTheme="minorEastAsia" w:hAnsiTheme="minorEastAsia" w:hint="eastAsia"/>
          <w:szCs w:val="21"/>
        </w:rPr>
        <w:t>由于从来没有接触过这种分析方法，初次看到一方面有新颖的感觉，吸引我深读下去，但另一方面可能是由于</w:t>
      </w:r>
      <w:r w:rsidR="00135BC6">
        <w:rPr>
          <w:rFonts w:asciiTheme="minorEastAsia" w:hAnsiTheme="minorEastAsia" w:hint="eastAsia"/>
          <w:szCs w:val="21"/>
        </w:rPr>
        <w:t>本身知识积累不够，</w:t>
      </w:r>
      <w:proofErr w:type="gramStart"/>
      <w:r w:rsidR="00135BC6">
        <w:rPr>
          <w:rFonts w:asciiTheme="minorEastAsia" w:hAnsiTheme="minorEastAsia" w:hint="eastAsia"/>
          <w:szCs w:val="21"/>
        </w:rPr>
        <w:t>读作者</w:t>
      </w:r>
      <w:proofErr w:type="gramEnd"/>
      <w:r w:rsidR="00135BC6">
        <w:rPr>
          <w:rFonts w:asciiTheme="minorEastAsia" w:hAnsiTheme="minorEastAsia" w:hint="eastAsia"/>
          <w:szCs w:val="21"/>
        </w:rPr>
        <w:t>的开头优点晦涩难懂。本来就是一个新的角度，作者又花了三四页的篇幅来描述本文的目的，但实际上中心思想也就是几句话，但是同一个中心思想却换了好几种不同的方式来描述，是否显得冗长且不必要？容易造成读者的困惑，感觉对于读者的逻辑思维能力有很高的要求，就我而言，反复开了三四遍开头才读懂作者到底想要干什么，因此就我看来用简洁有力的话语来点明自己的观点效果可能更好。</w:t>
      </w:r>
    </w:p>
    <w:p w:rsidR="009B3DA4" w:rsidRDefault="009B3DA4" w:rsidP="00AE1B6A">
      <w:pPr>
        <w:spacing w:line="400" w:lineRule="exact"/>
        <w:ind w:firstLineChars="200" w:firstLine="420"/>
      </w:pPr>
      <w:r>
        <w:rPr>
          <w:rFonts w:hint="eastAsia"/>
        </w:rPr>
        <w:t>在开头作者为了解释为何选择这一分析方法，列举了一个例子让我印象深刻：</w:t>
      </w:r>
      <w:r>
        <w:t>土改前许多村庄</w:t>
      </w:r>
      <w:r>
        <w:t>(</w:t>
      </w:r>
      <w:r>
        <w:t>特别是华北地区</w:t>
      </w:r>
      <w:r>
        <w:t>)</w:t>
      </w:r>
      <w:r>
        <w:t>中根本没有在村地主。</w:t>
      </w:r>
      <w:r w:rsidR="00851AA2">
        <w:rPr>
          <w:rFonts w:hint="eastAsia"/>
        </w:rPr>
        <w:t>（这一点简直颠覆了我对于土改前村庄的印象，尤其在《文化》、《翻身》中描述了大量的华北村庄，因此忽略了有些村庄根本没有村地主的事实）</w:t>
      </w:r>
      <w:r>
        <w:t>因此，在革命政党的宏观阶级矛盾分析转化为村庄层面的阶级斗争行动这一过程中，革命表述与社会实在之间出现了错位。秦晖先生则通过考察关中这一</w:t>
      </w:r>
      <w:r>
        <w:t>“</w:t>
      </w:r>
      <w:r>
        <w:t>特殊</w:t>
      </w:r>
      <w:r>
        <w:t>”</w:t>
      </w:r>
      <w:r>
        <w:t>地区</w:t>
      </w:r>
      <w:r>
        <w:t>——“</w:t>
      </w:r>
      <w:r>
        <w:t>关中无地主</w:t>
      </w:r>
      <w:r>
        <w:t>”</w:t>
      </w:r>
      <w:r>
        <w:t>而</w:t>
      </w:r>
      <w:r>
        <w:t xml:space="preserve"> “</w:t>
      </w:r>
      <w:r>
        <w:t>关中有封建</w:t>
      </w:r>
      <w:r>
        <w:t>”——</w:t>
      </w:r>
      <w:r>
        <w:t>的土改而含蓄地挑战正统土改叙事</w:t>
      </w:r>
      <w:r>
        <w:t>(</w:t>
      </w:r>
      <w:r>
        <w:t>所谓</w:t>
      </w:r>
      <w:r>
        <w:t>“</w:t>
      </w:r>
      <w:r>
        <w:t>太湖模式</w:t>
      </w:r>
      <w:r>
        <w:t>”)</w:t>
      </w:r>
      <w:r>
        <w:t>。这些开创性的经验研究之重要意义并不在于彻底颠覆革命叙事，而在于为反思中国革命注入了可贵的实证精神</w:t>
      </w:r>
      <w:r w:rsidR="00851AA2">
        <w:rPr>
          <w:rFonts w:hint="eastAsia"/>
        </w:rPr>
        <w:t>。如此看来，作者的论证更为客观，且具有“实证精神”。</w:t>
      </w:r>
    </w:p>
    <w:p w:rsidR="009B3DA4" w:rsidRDefault="00B2708B" w:rsidP="00AE1B6A">
      <w:pPr>
        <w:spacing w:line="400" w:lineRule="exact"/>
        <w:ind w:firstLine="420"/>
      </w:pPr>
      <w:r>
        <w:rPr>
          <w:rFonts w:hint="eastAsia"/>
        </w:rPr>
        <w:t>若说一开始对于“话语—历史矛盾”这一分析方法还持有怀疑态度，那是从作者所列举的哪一例子开始认同作者的分析方法呢？——</w:t>
      </w:r>
      <w:r w:rsidR="00A916BD">
        <w:rPr>
          <w:rFonts w:hint="eastAsia"/>
        </w:rPr>
        <w:t>作者将历史话语与实践结合，叙述了</w:t>
      </w:r>
      <w:r w:rsidR="00A916BD" w:rsidRPr="00A916BD">
        <w:rPr>
          <w:rFonts w:hint="eastAsia"/>
        </w:rPr>
        <w:t>土地法颁布前后的两个土改</w:t>
      </w:r>
      <w:r w:rsidR="00A916BD">
        <w:rPr>
          <w:rFonts w:hint="eastAsia"/>
        </w:rPr>
        <w:t>阶段存在实质性的不同：</w:t>
      </w:r>
      <w:r w:rsidR="00A916BD" w:rsidRPr="00A916BD">
        <w:rPr>
          <w:rFonts w:hint="eastAsia"/>
        </w:rPr>
        <w:t>简单地说，新中国成立后的土改是在和平环境下相对有组织、有控制地开展的运动，而北方解放区土改则是在战争环境下仓促展开，也没有缜密的政策规划与具体的实施办法。例如，主持北方土改的中央工委负责人刘少奇在</w:t>
      </w:r>
      <w:r w:rsidR="00A916BD" w:rsidRPr="00A916BD">
        <w:rPr>
          <w:rFonts w:hint="eastAsia"/>
        </w:rPr>
        <w:t xml:space="preserve"> 1948 </w:t>
      </w:r>
      <w:r w:rsidR="00A916BD" w:rsidRPr="00A916BD">
        <w:rPr>
          <w:rFonts w:hint="eastAsia"/>
        </w:rPr>
        <w:t>年中央九月会议上</w:t>
      </w:r>
      <w:r w:rsidR="00A916BD" w:rsidRPr="00A916BD">
        <w:rPr>
          <w:rFonts w:hint="eastAsia"/>
        </w:rPr>
        <w:t xml:space="preserve"> </w:t>
      </w:r>
      <w:r w:rsidR="00A916BD" w:rsidRPr="00A916BD">
        <w:rPr>
          <w:rFonts w:hint="eastAsia"/>
        </w:rPr>
        <w:t>曾经坦承：“在土地问题上，有土地法大纲，但没有具体办法。”相比而言，主持华东土</w:t>
      </w:r>
      <w:r w:rsidR="00A916BD" w:rsidRPr="00A916BD">
        <w:rPr>
          <w:rFonts w:hint="eastAsia"/>
        </w:rPr>
        <w:t xml:space="preserve"> </w:t>
      </w:r>
      <w:r w:rsidR="00A916BD" w:rsidRPr="00A916BD">
        <w:rPr>
          <w:rFonts w:hint="eastAsia"/>
        </w:rPr>
        <w:t>改的饶漱石在两年后谈到土改时底气则已相当不同：“土地改革大体须经过下列步骤，即‘小心谨慎，创造典型’；‘典型突破，逐步推跳’；‘点面结合，全面展开’。全部过程，都是大刀阔斧和精细深入两种方式的结合</w:t>
      </w:r>
      <w:r w:rsidR="00A916BD">
        <w:rPr>
          <w:rFonts w:hint="eastAsia"/>
        </w:rPr>
        <w:t>；‘带’、‘推’、‘跳’三种方法的结合。从语言的强度来看，的确印证了新旧土改实质性的不同，也让读者相信了作者分析方法的可行性。“话语—历史矛盾”要求对历史中的细节保持敏感，但又不深陷其中，作者从历史话</w:t>
      </w:r>
      <w:r w:rsidR="00A916BD">
        <w:rPr>
          <w:rFonts w:hint="eastAsia"/>
        </w:rPr>
        <w:lastRenderedPageBreak/>
        <w:t>语中找出了很多蛛丝马迹，也实在是一位严谨细心的学者。</w:t>
      </w:r>
    </w:p>
    <w:p w:rsidR="00A916BD" w:rsidRDefault="00A916BD" w:rsidP="00AE1B6A">
      <w:pPr>
        <w:spacing w:line="400" w:lineRule="exact"/>
        <w:ind w:firstLineChars="200" w:firstLine="420"/>
      </w:pPr>
      <w:r>
        <w:rPr>
          <w:rFonts w:hint="eastAsia"/>
        </w:rPr>
        <w:t>在解释所采用的分析方法后，作者便开始举例来从历史话语中找到实际境况。其中让我印象深刻的当然也就是作者所说的土改时期的焦点——“贫雇农”</w:t>
      </w:r>
      <w:r w:rsidRPr="00A916BD">
        <w:rPr>
          <w:rFonts w:hint="eastAsia"/>
        </w:rPr>
        <w:t>、“中农”以及更有争议的“新富农”</w:t>
      </w:r>
      <w:r>
        <w:rPr>
          <w:rFonts w:hint="eastAsia"/>
        </w:rPr>
        <w:t>。</w:t>
      </w:r>
      <w:r w:rsidRPr="007325A5">
        <w:rPr>
          <w:rFonts w:hint="eastAsia"/>
        </w:rPr>
        <w:t>翻身为的是贫雇农，靠的是贫雇农。北方土改之中，为了发动广大贫雇农的热情与积极性，为了解决“发动贫雇”与“满足贫雇”的现实矛盾，“九条照顾”被忽视，不仅仅是富农，连中农也成为土改的对象，土改出现了严重的左倾。随之而来的是，原来的乡村经济主体的解体让生产矛盾突出。中央也开始考虑土改进行过程中出现的一系列问题，《土地改革法》的颁布可见一斑。其实中共对土改态度的变化反映了一个问题：土改的最终目的到底是什么？是翻身，还是生产？答案当然是后者。我觉得刘少奇的话最为恰当：土地改革的基本目的，不是单纯地为了救济穷苦农民，而是为了要使农村生产力从地主阶级封建土地所有制的束缚之下获得解放，以便发展农业生产，为新中国的工业化开辟道路。</w:t>
      </w:r>
    </w:p>
    <w:p w:rsidR="00A916BD" w:rsidRDefault="00757849" w:rsidP="00AE1B6A">
      <w:pPr>
        <w:spacing w:line="400" w:lineRule="exact"/>
        <w:ind w:firstLineChars="200" w:firstLine="420"/>
      </w:pPr>
      <w:r>
        <w:rPr>
          <w:rFonts w:hint="eastAsia"/>
        </w:rPr>
        <w:t>然而在已读的文献资料里，“农民翻身斗地主”却成为了主线、讨论的重点。由于缺乏对土改的了解，我也不能判断二者的正误或</w:t>
      </w:r>
      <w:proofErr w:type="gramStart"/>
      <w:r>
        <w:rPr>
          <w:rFonts w:hint="eastAsia"/>
        </w:rPr>
        <w:t>作出</w:t>
      </w:r>
      <w:proofErr w:type="gramEnd"/>
      <w:r>
        <w:rPr>
          <w:rFonts w:hint="eastAsia"/>
        </w:rPr>
        <w:t>评价，但本文作者的观点确实是有一定说服力的：</w:t>
      </w:r>
      <w:r w:rsidRPr="00757849">
        <w:rPr>
          <w:rFonts w:hint="eastAsia"/>
        </w:rPr>
        <w:t>由于土改强调“翻身”，要求走一条“贫雇路线”，造成了当时以中农、富裕中农以及新富农为代表的乡村经济主体的恐慌，影响了生产的发展。与此同时，“翻身”所产生的许多新干部因为工作需要出现了“误工”现象，萌生了</w:t>
      </w:r>
      <w:proofErr w:type="gramStart"/>
      <w:r w:rsidRPr="00757849">
        <w:rPr>
          <w:rFonts w:hint="eastAsia"/>
        </w:rPr>
        <w:t>退出村政工</w:t>
      </w:r>
      <w:proofErr w:type="gramEnd"/>
      <w:r w:rsidRPr="00757849">
        <w:rPr>
          <w:rFonts w:hint="eastAsia"/>
        </w:rPr>
        <w:t>作的想法，这就导致一些流氓型新精英在北方土改过程中一度得以攫取乡村权力，对乡村经济与道德秩序都造成了巨大破坏。从这些方面来看，在北方的土改过程中，“翻身”与“生产”确实存在着矛盾性。而土改要取得成功，处理好这二者的矛盾则显得至关重要。</w:t>
      </w:r>
    </w:p>
    <w:p w:rsidR="00700063" w:rsidRPr="00757849" w:rsidRDefault="00700063" w:rsidP="00AE1B6A">
      <w:pPr>
        <w:spacing w:line="400" w:lineRule="exact"/>
        <w:ind w:firstLineChars="200" w:firstLine="420"/>
      </w:pPr>
      <w:r>
        <w:rPr>
          <w:rFonts w:hint="eastAsia"/>
        </w:rPr>
        <w:t>因此，我从本文中提炼出关于土改的主要矛盾，实际上还是生产力与生产关系的矛盾，而并不是我们表明所看到的阶级斗争矛盾。</w:t>
      </w:r>
    </w:p>
    <w:p w:rsidR="00A916BD" w:rsidRPr="00A916BD" w:rsidRDefault="00A916BD" w:rsidP="00AE1B6A">
      <w:pPr>
        <w:spacing w:line="400" w:lineRule="exact"/>
        <w:ind w:firstLineChars="200" w:firstLine="420"/>
      </w:pPr>
      <w:r>
        <w:rPr>
          <w:rFonts w:hint="eastAsia"/>
        </w:rPr>
        <w:t>除了前文中提出的问题，我还有</w:t>
      </w:r>
      <w:r w:rsidR="00757849">
        <w:rPr>
          <w:rFonts w:hint="eastAsia"/>
        </w:rPr>
        <w:t>一</w:t>
      </w:r>
      <w:r>
        <w:rPr>
          <w:rFonts w:hint="eastAsia"/>
        </w:rPr>
        <w:t>个疑惑：</w:t>
      </w:r>
      <w:r>
        <w:t>本文认为，革命与生产的矛盾构型是北方土改的</w:t>
      </w:r>
      <w:r>
        <w:rPr>
          <w:rFonts w:hint="eastAsia"/>
        </w:rPr>
        <w:t>“</w:t>
      </w:r>
      <w:r w:rsidRPr="00A916BD">
        <w:t>主要现代性后果之一</w:t>
      </w:r>
      <w:r>
        <w:rPr>
          <w:rFonts w:hint="eastAsia"/>
        </w:rPr>
        <w:t>”，这一个词在文中出现了很多次，但是作者并没有解释，何谓主要现代性后果？现代性是什么？</w:t>
      </w:r>
    </w:p>
    <w:p w:rsidR="009B3DA4" w:rsidRPr="00E37386" w:rsidRDefault="009B3DA4" w:rsidP="00E37386">
      <w:pPr>
        <w:spacing w:line="400" w:lineRule="exact"/>
        <w:ind w:firstLineChars="200" w:firstLine="420"/>
      </w:pPr>
      <w:r>
        <w:rPr>
          <w:rFonts w:asciiTheme="minorEastAsia" w:hAnsiTheme="minorEastAsia" w:hint="eastAsia"/>
          <w:szCs w:val="21"/>
        </w:rPr>
        <w:t>正如作者所说，他无意于陷入土改是否促进农业生产发展的持久争论，只</w:t>
      </w:r>
      <w:r>
        <w:t>意在勾勒中国革命现代性的一个话语</w:t>
      </w:r>
      <w:r>
        <w:t>—</w:t>
      </w:r>
      <w:r>
        <w:t>历史结构的谱系渊源</w:t>
      </w:r>
      <w:r>
        <w:rPr>
          <w:rFonts w:hint="eastAsia"/>
        </w:rPr>
        <w:t>。全文也可以看出，作者只是通过一些革命话语来分析当时存在的矛盾，并没有直接赞扬或是批判土改，因此本文显得比前两篇我们阅读的文献要更为客观一些，毕竟从《文化》、《翻身》这两本书里，我们随处可见对于共产党的颂扬——一旦</w:t>
      </w:r>
      <w:r w:rsidR="00851AA2">
        <w:rPr>
          <w:rFonts w:hint="eastAsia"/>
        </w:rPr>
        <w:t>作者显露了自己的情感或者过多表明了自己的政治立场，总会显得有那么点儿不太客观。</w:t>
      </w:r>
      <w:r>
        <w:rPr>
          <w:rFonts w:hint="eastAsia"/>
        </w:rPr>
        <w:t xml:space="preserve"> </w:t>
      </w:r>
      <w:r w:rsidR="00851AA2">
        <w:rPr>
          <w:rFonts w:hint="eastAsia"/>
        </w:rPr>
        <w:t>但是，作者在一开头就说明了</w:t>
      </w:r>
      <w:r w:rsidR="00851AA2">
        <w:t>本文的经验基础主要是各级土改史料、各解放区的财政经济史料以及一些相关的党史材料，其中</w:t>
      </w:r>
      <w:r w:rsidR="00851AA2" w:rsidRPr="00851AA2">
        <w:t>绝大部分</w:t>
      </w:r>
      <w:proofErr w:type="gramStart"/>
      <w:r w:rsidR="00851AA2" w:rsidRPr="00851AA2">
        <w:t>属正式</w:t>
      </w:r>
      <w:proofErr w:type="gramEnd"/>
      <w:r w:rsidR="00851AA2" w:rsidRPr="00851AA2">
        <w:t>出版物</w:t>
      </w:r>
      <w:r w:rsidR="00851AA2">
        <w:rPr>
          <w:rFonts w:hint="eastAsia"/>
        </w:rPr>
        <w:t>；那么在“正统”的资料中，已然带有了阶级立场，使用这些材料来分析一些问题，并且还力求“客观”，是否有点奇怪，说服力是不是大打折扣了？</w:t>
      </w:r>
    </w:p>
    <w:p w:rsidR="00BB1937" w:rsidRDefault="00BB1937"/>
    <w:sectPr w:rsidR="00BB19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D9A" w:rsidRDefault="00957D9A" w:rsidP="00AE1B6A">
      <w:r>
        <w:separator/>
      </w:r>
    </w:p>
  </w:endnote>
  <w:endnote w:type="continuationSeparator" w:id="0">
    <w:p w:rsidR="00957D9A" w:rsidRDefault="00957D9A" w:rsidP="00AE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D9A" w:rsidRDefault="00957D9A" w:rsidP="00AE1B6A">
      <w:r>
        <w:separator/>
      </w:r>
    </w:p>
  </w:footnote>
  <w:footnote w:type="continuationSeparator" w:id="0">
    <w:p w:rsidR="00957D9A" w:rsidRDefault="00957D9A" w:rsidP="00AE1B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937"/>
    <w:rsid w:val="00082E84"/>
    <w:rsid w:val="00135BC6"/>
    <w:rsid w:val="0017454C"/>
    <w:rsid w:val="005F734C"/>
    <w:rsid w:val="00700063"/>
    <w:rsid w:val="00757849"/>
    <w:rsid w:val="00851AA2"/>
    <w:rsid w:val="00957D9A"/>
    <w:rsid w:val="00961324"/>
    <w:rsid w:val="009B3DA4"/>
    <w:rsid w:val="00A81C47"/>
    <w:rsid w:val="00A916BD"/>
    <w:rsid w:val="00AE1B6A"/>
    <w:rsid w:val="00B2708B"/>
    <w:rsid w:val="00B32051"/>
    <w:rsid w:val="00B42959"/>
    <w:rsid w:val="00BB1937"/>
    <w:rsid w:val="00D35A72"/>
    <w:rsid w:val="00E37386"/>
    <w:rsid w:val="00FE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1B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1B6A"/>
    <w:rPr>
      <w:sz w:val="18"/>
      <w:szCs w:val="18"/>
    </w:rPr>
  </w:style>
  <w:style w:type="paragraph" w:styleId="a4">
    <w:name w:val="footer"/>
    <w:basedOn w:val="a"/>
    <w:link w:val="Char0"/>
    <w:uiPriority w:val="99"/>
    <w:unhideWhenUsed/>
    <w:rsid w:val="00AE1B6A"/>
    <w:pPr>
      <w:tabs>
        <w:tab w:val="center" w:pos="4153"/>
        <w:tab w:val="right" w:pos="8306"/>
      </w:tabs>
      <w:snapToGrid w:val="0"/>
      <w:jc w:val="left"/>
    </w:pPr>
    <w:rPr>
      <w:sz w:val="18"/>
      <w:szCs w:val="18"/>
    </w:rPr>
  </w:style>
  <w:style w:type="character" w:customStyle="1" w:styleId="Char0">
    <w:name w:val="页脚 Char"/>
    <w:basedOn w:val="a0"/>
    <w:link w:val="a4"/>
    <w:uiPriority w:val="99"/>
    <w:rsid w:val="00AE1B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1B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1B6A"/>
    <w:rPr>
      <w:sz w:val="18"/>
      <w:szCs w:val="18"/>
    </w:rPr>
  </w:style>
  <w:style w:type="paragraph" w:styleId="a4">
    <w:name w:val="footer"/>
    <w:basedOn w:val="a"/>
    <w:link w:val="Char0"/>
    <w:uiPriority w:val="99"/>
    <w:unhideWhenUsed/>
    <w:rsid w:val="00AE1B6A"/>
    <w:pPr>
      <w:tabs>
        <w:tab w:val="center" w:pos="4153"/>
        <w:tab w:val="right" w:pos="8306"/>
      </w:tabs>
      <w:snapToGrid w:val="0"/>
      <w:jc w:val="left"/>
    </w:pPr>
    <w:rPr>
      <w:sz w:val="18"/>
      <w:szCs w:val="18"/>
    </w:rPr>
  </w:style>
  <w:style w:type="character" w:customStyle="1" w:styleId="Char0">
    <w:name w:val="页脚 Char"/>
    <w:basedOn w:val="a0"/>
    <w:link w:val="a4"/>
    <w:uiPriority w:val="99"/>
    <w:rsid w:val="00AE1B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381</Words>
  <Characters>2175</Characters>
  <Application>Microsoft Office Word</Application>
  <DocSecurity>0</DocSecurity>
  <Lines>18</Lines>
  <Paragraphs>5</Paragraphs>
  <ScaleCrop>false</ScaleCrop>
  <Company/>
  <LinksUpToDate>false</LinksUpToDate>
  <CharactersWithSpaces>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2015-10-24T02:22:00Z</dcterms:created>
  <dcterms:modified xsi:type="dcterms:W3CDTF">2015-12-23T09:51:00Z</dcterms:modified>
</cp:coreProperties>
</file>